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26" w:rsidRPr="00B26655" w:rsidRDefault="00605D26" w:rsidP="006C4C03">
      <w:pPr>
        <w:spacing w:before="120"/>
        <w:jc w:val="center"/>
        <w:rPr>
          <w:b/>
          <w:bCs/>
          <w:sz w:val="22"/>
          <w:szCs w:val="22"/>
          <w:lang w:val="uk-UA"/>
        </w:rPr>
      </w:pPr>
      <w:r w:rsidRPr="00B26655">
        <w:rPr>
          <w:b/>
          <w:bCs/>
          <w:sz w:val="22"/>
          <w:szCs w:val="22"/>
          <w:lang w:val="uk-UA"/>
        </w:rPr>
        <w:t>У К Р А Ї Н С Ь К А    Ф Е Д Е Р А Ц І Я    І Н Д У С Т Р І Ї     Б Е З П Е К И</w:t>
      </w:r>
    </w:p>
    <w:p w:rsidR="00605D26" w:rsidRDefault="00605D26" w:rsidP="002546AB">
      <w:pPr>
        <w:rPr>
          <w:rFonts w:cs="Times New Roman"/>
          <w:color w:val="000000"/>
          <w:sz w:val="22"/>
          <w:lang w:val="uk-UA"/>
        </w:rPr>
      </w:pPr>
    </w:p>
    <w:p w:rsidR="00605D26" w:rsidRPr="00605D26" w:rsidRDefault="00605D26" w:rsidP="002546AB">
      <w:pPr>
        <w:rPr>
          <w:rFonts w:cs="Times New Roman"/>
          <w:color w:val="000000"/>
          <w:sz w:val="22"/>
          <w:lang w:val="uk-UA"/>
        </w:rPr>
        <w:sectPr w:rsidR="00605D26" w:rsidRPr="00605D26" w:rsidSect="006C4C03">
          <w:pgSz w:w="11906" w:h="16838" w:code="9"/>
          <w:pgMar w:top="567" w:right="851" w:bottom="567" w:left="1418" w:header="709" w:footer="709" w:gutter="0"/>
          <w:cols w:space="708"/>
          <w:docGrid w:linePitch="360"/>
        </w:sectPr>
      </w:pPr>
    </w:p>
    <w:tbl>
      <w:tblPr>
        <w:tblW w:w="10774" w:type="dxa"/>
        <w:tblInd w:w="-1505" w:type="dxa"/>
        <w:tblLayout w:type="fixed"/>
        <w:tblCellMar>
          <w:top w:w="55" w:type="dxa"/>
          <w:left w:w="55" w:type="dxa"/>
          <w:bottom w:w="55" w:type="dxa"/>
          <w:right w:w="55" w:type="dxa"/>
        </w:tblCellMar>
        <w:tblLook w:val="0000" w:firstRow="0" w:lastRow="0" w:firstColumn="0" w:lastColumn="0" w:noHBand="0" w:noVBand="0"/>
      </w:tblPr>
      <w:tblGrid>
        <w:gridCol w:w="5104"/>
        <w:gridCol w:w="5670"/>
      </w:tblGrid>
      <w:tr w:rsidR="00ED46BB" w:rsidRPr="00ED46BB" w:rsidTr="004F062C">
        <w:trPr>
          <w:trHeight w:val="1010"/>
        </w:trPr>
        <w:tc>
          <w:tcPr>
            <w:tcW w:w="5104" w:type="dxa"/>
            <w:tcBorders>
              <w:top w:val="single" w:sz="4" w:space="0" w:color="auto"/>
              <w:left w:val="single" w:sz="1" w:space="0" w:color="000000"/>
              <w:bottom w:val="single" w:sz="1" w:space="0" w:color="000000"/>
            </w:tcBorders>
            <w:shd w:val="clear" w:color="auto" w:fill="auto"/>
          </w:tcPr>
          <w:p w:rsidR="00ED46BB" w:rsidRPr="00ED46BB" w:rsidRDefault="00ED46BB" w:rsidP="002546AB">
            <w:pPr>
              <w:rPr>
                <w:rFonts w:cs="Times New Roman"/>
                <w:color w:val="000000"/>
                <w:sz w:val="22"/>
                <w:lang w:val="uk-UA"/>
              </w:rPr>
            </w:pPr>
            <w:r w:rsidRPr="00ED46BB">
              <w:rPr>
                <w:rFonts w:cs="Times New Roman"/>
                <w:color w:val="000000"/>
                <w:sz w:val="22"/>
                <w:lang w:val="en-US"/>
              </w:rPr>
              <w:lastRenderedPageBreak/>
              <w:t xml:space="preserve">A white paper outlining </w:t>
            </w:r>
            <w:proofErr w:type="spellStart"/>
            <w:r w:rsidRPr="00ED46BB">
              <w:rPr>
                <w:rFonts w:cs="Times New Roman"/>
                <w:color w:val="000000"/>
                <w:sz w:val="22"/>
                <w:lang w:val="en-US"/>
              </w:rPr>
              <w:t>Euralarm's</w:t>
            </w:r>
            <w:proofErr w:type="spellEnd"/>
            <w:r w:rsidRPr="00ED46BB">
              <w:rPr>
                <w:rFonts w:cs="Times New Roman"/>
                <w:color w:val="000000"/>
                <w:sz w:val="22"/>
                <w:lang w:val="en-US"/>
              </w:rPr>
              <w:t xml:space="preserve"> European Policy Priorities and action agenda </w:t>
            </w:r>
            <w:r w:rsidRPr="00ED46BB">
              <w:rPr>
                <w:rFonts w:cs="Times New Roman"/>
                <w:color w:val="000000"/>
                <w:sz w:val="22"/>
                <w:lang w:val="de-DE"/>
              </w:rPr>
              <w:t xml:space="preserve">2013-2015 </w:t>
            </w:r>
            <w:r w:rsidRPr="00ED46BB">
              <w:rPr>
                <w:rFonts w:cs="Times New Roman"/>
                <w:b/>
                <w:color w:val="000000"/>
                <w:sz w:val="22"/>
                <w:lang w:val="en-US"/>
              </w:rPr>
              <w:t xml:space="preserve">"A Vision for a Competitive European Security Industry and Secure Society" </w:t>
            </w:r>
          </w:p>
        </w:tc>
        <w:tc>
          <w:tcPr>
            <w:tcW w:w="5670" w:type="dxa"/>
            <w:tcBorders>
              <w:top w:val="single" w:sz="4" w:space="0" w:color="auto"/>
              <w:left w:val="single" w:sz="1" w:space="0" w:color="000000"/>
              <w:bottom w:val="single" w:sz="1" w:space="0" w:color="000000"/>
              <w:right w:val="single" w:sz="1" w:space="0" w:color="000000"/>
            </w:tcBorders>
          </w:tcPr>
          <w:p w:rsidR="00ED46BB" w:rsidRPr="00ED46BB" w:rsidRDefault="00ED46BB" w:rsidP="002546AB">
            <w:pPr>
              <w:pStyle w:val="a3"/>
              <w:snapToGrid w:val="0"/>
              <w:rPr>
                <w:rFonts w:cs="Times New Roman"/>
                <w:sz w:val="22"/>
                <w:lang w:val="uk-UA"/>
              </w:rPr>
            </w:pPr>
            <w:r w:rsidRPr="00ED46BB">
              <w:rPr>
                <w:rFonts w:cs="Times New Roman"/>
                <w:sz w:val="22"/>
                <w:lang w:val="uk-UA"/>
              </w:rPr>
              <w:t xml:space="preserve">Біла книга </w:t>
            </w:r>
            <w:proofErr w:type="spellStart"/>
            <w:r w:rsidRPr="00ED46BB">
              <w:rPr>
                <w:rFonts w:cs="Times New Roman"/>
                <w:sz w:val="22"/>
                <w:lang w:val="uk-UA"/>
              </w:rPr>
              <w:t>Євраларм</w:t>
            </w:r>
            <w:proofErr w:type="spellEnd"/>
            <w:r w:rsidRPr="00ED46BB">
              <w:rPr>
                <w:rFonts w:cs="Times New Roman"/>
                <w:sz w:val="22"/>
                <w:lang w:val="uk-UA"/>
              </w:rPr>
              <w:t xml:space="preserve"> щодо пріоритетів для європейської політики та плану дій на 2013-2015 рр.</w:t>
            </w:r>
          </w:p>
          <w:p w:rsidR="00ED46BB" w:rsidRPr="00ED46BB" w:rsidRDefault="00ED46BB" w:rsidP="002546AB">
            <w:pPr>
              <w:pStyle w:val="a3"/>
              <w:snapToGrid w:val="0"/>
              <w:rPr>
                <w:rFonts w:cs="Times New Roman"/>
                <w:sz w:val="22"/>
                <w:lang w:val="uk-UA"/>
              </w:rPr>
            </w:pPr>
            <w:r w:rsidRPr="00ED46BB">
              <w:rPr>
                <w:rFonts w:cs="Times New Roman"/>
                <w:b/>
                <w:bCs/>
                <w:sz w:val="22"/>
                <w:lang w:val="uk-UA"/>
              </w:rPr>
              <w:t>"Бачення конкурентоспроможної європейської індустрії безпеки та безпечного суспільства"</w:t>
            </w:r>
          </w:p>
        </w:tc>
      </w:tr>
      <w:tr w:rsidR="00ED46BB" w:rsidTr="004F062C">
        <w:trPr>
          <w:trHeight w:val="315"/>
        </w:trPr>
        <w:tc>
          <w:tcPr>
            <w:tcW w:w="5104" w:type="dxa"/>
            <w:tcBorders>
              <w:top w:val="single" w:sz="4" w:space="0" w:color="auto"/>
              <w:left w:val="single" w:sz="1" w:space="0" w:color="000000"/>
              <w:bottom w:val="single" w:sz="1" w:space="0" w:color="000000"/>
            </w:tcBorders>
            <w:shd w:val="clear" w:color="auto" w:fill="auto"/>
          </w:tcPr>
          <w:p w:rsidR="00ED46BB" w:rsidRPr="005A4889" w:rsidRDefault="00ED46BB" w:rsidP="004F062C">
            <w:pPr>
              <w:jc w:val="center"/>
              <w:rPr>
                <w:rFonts w:cs="Times New Roman"/>
                <w:b/>
                <w:color w:val="000000"/>
                <w:spacing w:val="-10"/>
                <w:lang w:val="uk-UA"/>
              </w:rPr>
            </w:pPr>
            <w:r>
              <w:rPr>
                <w:rFonts w:cs="Times New Roman"/>
                <w:b/>
                <w:color w:val="000000"/>
                <w:spacing w:val="-10"/>
                <w:lang w:val="fr-FR"/>
              </w:rPr>
              <w:t xml:space="preserve">EXECUTIVE </w:t>
            </w:r>
            <w:r>
              <w:rPr>
                <w:rFonts w:cs="Times New Roman"/>
                <w:b/>
                <w:color w:val="000000"/>
                <w:spacing w:val="-10"/>
                <w:lang w:val="en-US"/>
              </w:rPr>
              <w:t>SUMMARY</w:t>
            </w:r>
            <w:r w:rsidR="005A4889">
              <w:rPr>
                <w:rFonts w:cs="Times New Roman"/>
                <w:b/>
                <w:color w:val="000000"/>
                <w:spacing w:val="-10"/>
                <w:lang w:val="uk-UA"/>
              </w:rPr>
              <w:t>*</w:t>
            </w:r>
          </w:p>
        </w:tc>
        <w:tc>
          <w:tcPr>
            <w:tcW w:w="5670" w:type="dxa"/>
            <w:tcBorders>
              <w:top w:val="single" w:sz="4" w:space="0" w:color="auto"/>
              <w:left w:val="single" w:sz="1" w:space="0" w:color="000000"/>
              <w:bottom w:val="single" w:sz="1" w:space="0" w:color="000000"/>
              <w:right w:val="single" w:sz="1" w:space="0" w:color="000000"/>
            </w:tcBorders>
          </w:tcPr>
          <w:p w:rsidR="00ED46BB" w:rsidRDefault="00ED46BB" w:rsidP="004F062C">
            <w:pPr>
              <w:pStyle w:val="a3"/>
              <w:snapToGrid w:val="0"/>
              <w:jc w:val="center"/>
              <w:rPr>
                <w:rFonts w:cs="Times New Roman"/>
                <w:b/>
                <w:bCs/>
                <w:lang w:val="uk-UA"/>
              </w:rPr>
            </w:pPr>
            <w:r>
              <w:rPr>
                <w:rFonts w:cs="Times New Roman"/>
                <w:b/>
                <w:bCs/>
                <w:lang w:val="uk-UA"/>
              </w:rPr>
              <w:t>РЕЗЮМЕ</w:t>
            </w:r>
            <w:r w:rsidR="005A4889">
              <w:rPr>
                <w:rFonts w:cs="Times New Roman"/>
                <w:b/>
                <w:bCs/>
                <w:lang w:val="uk-UA"/>
              </w:rPr>
              <w:t>*</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ind w:left="20" w:right="760"/>
              <w:rPr>
                <w:rFonts w:cs="Times New Roman"/>
                <w:lang w:val="uk-UA"/>
              </w:rPr>
            </w:pPr>
            <w:proofErr w:type="spellStart"/>
            <w:r>
              <w:rPr>
                <w:rFonts w:cs="Times New Roman"/>
                <w:color w:val="000000"/>
                <w:lang w:val="en-US"/>
              </w:rPr>
              <w:t>Euralarm's</w:t>
            </w:r>
            <w:proofErr w:type="spellEnd"/>
            <w:r>
              <w:rPr>
                <w:rFonts w:cs="Times New Roman"/>
                <w:color w:val="000000"/>
                <w:lang w:val="en-US"/>
              </w:rPr>
              <w:t xml:space="preserve"> vision for a competitive European Security Industry</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lang w:val="uk-UA"/>
              </w:rPr>
            </w:pPr>
            <w:r>
              <w:rPr>
                <w:rFonts w:cs="Times New Roman"/>
                <w:lang w:val="uk-UA"/>
              </w:rPr>
              <w:t>Точка зору Euralarm щодо конкурентоспроможної європейської індустрії безпеки</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4F062C">
            <w:pPr>
              <w:ind w:left="20" w:right="20"/>
              <w:jc w:val="both"/>
              <w:rPr>
                <w:rFonts w:cs="Times New Roman"/>
                <w:lang w:val="uk-UA"/>
              </w:rPr>
            </w:pPr>
            <w:r>
              <w:rPr>
                <w:rFonts w:cs="Times New Roman"/>
                <w:color w:val="000000"/>
                <w:lang w:val="en-US"/>
              </w:rPr>
              <w:t>While the EU is at an economic and political crossroads, the European security industry has an unmatched potential to contribute to recovery and foster economic growth. In this White Paper, Euralarm sets out the policy priorities and actions that are essential for enhancing the innovative strength and global competitiveness of the security industry in Europe and, consequently, for improving the security of all Europe's citizens.</w:t>
            </w:r>
          </w:p>
        </w:tc>
        <w:tc>
          <w:tcPr>
            <w:tcW w:w="5670" w:type="dxa"/>
            <w:tcBorders>
              <w:left w:val="single" w:sz="1" w:space="0" w:color="000000"/>
              <w:bottom w:val="single" w:sz="1" w:space="0" w:color="000000"/>
              <w:right w:val="single" w:sz="1" w:space="0" w:color="000000"/>
            </w:tcBorders>
          </w:tcPr>
          <w:p w:rsidR="00ED46BB" w:rsidRDefault="00ED46BB" w:rsidP="004F062C">
            <w:pPr>
              <w:pStyle w:val="a3"/>
              <w:snapToGrid w:val="0"/>
              <w:jc w:val="both"/>
              <w:rPr>
                <w:rFonts w:cs="Times New Roman"/>
                <w:lang w:val="uk-UA"/>
              </w:rPr>
            </w:pPr>
            <w:r>
              <w:rPr>
                <w:rFonts w:cs="Times New Roman"/>
                <w:lang w:val="uk-UA"/>
              </w:rPr>
              <w:t xml:space="preserve">У той час, коли ЄС знаходиться в пошуках економічних і політичних шляхів, європейська індустрія безпеки має унікальний потенціал, щоб сприяти відновленню та прискоренню економічного зростання. У цій Білій Книзі Euralarm окреслює політичні пріоритети і дії, </w:t>
            </w:r>
            <w:r w:rsidRPr="00B740EF">
              <w:rPr>
                <w:rFonts w:cs="Times New Roman"/>
                <w:lang w:val="uk-UA"/>
              </w:rPr>
              <w:t>надзвичайно важлив</w:t>
            </w:r>
            <w:r>
              <w:rPr>
                <w:rFonts w:cs="Times New Roman"/>
                <w:lang w:val="uk-UA"/>
              </w:rPr>
              <w:t>і</w:t>
            </w:r>
            <w:r w:rsidRPr="00B740EF">
              <w:rPr>
                <w:rFonts w:cs="Times New Roman"/>
                <w:lang w:val="uk-UA"/>
              </w:rPr>
              <w:t xml:space="preserve"> для посилення інновацій та загальної конкурентоспроможності індустрії безпеки в Європі й, відтак, для підвищення рівня захищеності всіх європейських громадян</w:t>
            </w:r>
            <w:r>
              <w:rPr>
                <w:rFonts w:cs="Times New Roman"/>
                <w:lang w:val="uk-UA"/>
              </w:rPr>
              <w:t>.</w:t>
            </w:r>
          </w:p>
        </w:tc>
      </w:tr>
      <w:tr w:rsidR="00ED46BB" w:rsidTr="004F062C">
        <w:tc>
          <w:tcPr>
            <w:tcW w:w="5104" w:type="dxa"/>
            <w:tcBorders>
              <w:left w:val="single" w:sz="1" w:space="0" w:color="000000"/>
              <w:bottom w:val="single" w:sz="1" w:space="0" w:color="000000"/>
            </w:tcBorders>
            <w:shd w:val="clear" w:color="auto" w:fill="auto"/>
          </w:tcPr>
          <w:p w:rsidR="00ED46BB" w:rsidRDefault="00ED46BB" w:rsidP="004F062C">
            <w:pPr>
              <w:ind w:left="20" w:right="20"/>
              <w:jc w:val="both"/>
              <w:rPr>
                <w:rFonts w:cs="Times New Roman"/>
                <w:lang w:val="uk-UA"/>
              </w:rPr>
            </w:pPr>
            <w:r>
              <w:rPr>
                <w:rFonts w:cs="Times New Roman"/>
                <w:color w:val="000000"/>
                <w:lang w:val="en-US"/>
              </w:rPr>
              <w:t>Security is clearly a sector where "more Europe" is necessary. Progress depends first and foremost on the shared recognition by EU Member States and the relevant public authorities that a European and international view often better serve the public interest, rather than relying solely on national or sub-national action. This recognition is both necessary and urgent.</w:t>
            </w:r>
          </w:p>
        </w:tc>
        <w:tc>
          <w:tcPr>
            <w:tcW w:w="5670" w:type="dxa"/>
            <w:tcBorders>
              <w:left w:val="single" w:sz="1" w:space="0" w:color="000000"/>
              <w:bottom w:val="single" w:sz="1" w:space="0" w:color="000000"/>
              <w:right w:val="single" w:sz="1" w:space="0" w:color="000000"/>
            </w:tcBorders>
          </w:tcPr>
          <w:p w:rsidR="00ED46BB" w:rsidRDefault="00ED46BB" w:rsidP="004F062C">
            <w:pPr>
              <w:pStyle w:val="a3"/>
              <w:snapToGrid w:val="0"/>
              <w:jc w:val="both"/>
              <w:rPr>
                <w:rFonts w:cs="Times New Roman"/>
                <w:lang w:val="uk-UA"/>
              </w:rPr>
            </w:pPr>
            <w:r>
              <w:rPr>
                <w:rFonts w:cs="Times New Roman"/>
                <w:lang w:val="uk-UA"/>
              </w:rPr>
              <w:t>Очевидно,  що безпека - це сектор, де потрібен більший вплив загальноєвропейських підходів. Прогрес залежить, передусім, від загального розуміння державами ЄС та відповідними органами влади, що загальноєвропейське і глобальне бачення у цій сфері не рідко краще відповідає громадським інтересам, ніж опора виключно на національні або місцеві заходи. Визнання цього є необхідним і терміновим.</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4F062C">
            <w:pPr>
              <w:ind w:left="20" w:right="20"/>
              <w:jc w:val="both"/>
              <w:rPr>
                <w:rFonts w:cs="Times New Roman"/>
                <w:lang w:val="uk-UA"/>
              </w:rPr>
            </w:pPr>
            <w:r>
              <w:rPr>
                <w:rFonts w:cs="Times New Roman"/>
                <w:color w:val="000000"/>
                <w:lang w:val="en-US"/>
              </w:rPr>
              <w:t>There is ample legal basis for the necessary EU-level policy action. Therefore, Euralarm urges policy makers to move swiftly and not to dismiss such action out-of-hand where it is clearly shown, as it's the case here, to be the best way of achieving objectives which are of public European interest.</w:t>
            </w:r>
          </w:p>
        </w:tc>
        <w:tc>
          <w:tcPr>
            <w:tcW w:w="5670" w:type="dxa"/>
            <w:tcBorders>
              <w:left w:val="single" w:sz="1" w:space="0" w:color="000000"/>
              <w:bottom w:val="single" w:sz="1" w:space="0" w:color="000000"/>
              <w:right w:val="single" w:sz="1" w:space="0" w:color="000000"/>
            </w:tcBorders>
          </w:tcPr>
          <w:p w:rsidR="00ED46BB" w:rsidRDefault="00ED46BB" w:rsidP="004F062C">
            <w:pPr>
              <w:pStyle w:val="a3"/>
              <w:snapToGrid w:val="0"/>
              <w:jc w:val="both"/>
              <w:rPr>
                <w:rFonts w:cs="Times New Roman"/>
                <w:lang w:val="uk-UA"/>
              </w:rPr>
            </w:pPr>
            <w:r>
              <w:rPr>
                <w:rFonts w:cs="Times New Roman"/>
                <w:lang w:val="uk-UA"/>
              </w:rPr>
              <w:t>Є достатня законодавча база для політичних дій, необхідних на загальноєвропейському рівні. Тому Euralarm закликає усіх, хто визначає політику, діяти швидко і рішуче у чітко визначених напрямках, які тут пропонуються, оскільки це – кращий спосіб досягнення цілей в інтересах європейської громадськості.</w:t>
            </w:r>
          </w:p>
        </w:tc>
      </w:tr>
      <w:tr w:rsidR="00ED46BB" w:rsidRPr="00047882" w:rsidTr="004F062C">
        <w:tc>
          <w:tcPr>
            <w:tcW w:w="5104" w:type="dxa"/>
            <w:tcBorders>
              <w:left w:val="single" w:sz="1" w:space="0" w:color="000000"/>
              <w:bottom w:val="single" w:sz="1" w:space="0" w:color="000000"/>
            </w:tcBorders>
            <w:shd w:val="clear" w:color="auto" w:fill="auto"/>
          </w:tcPr>
          <w:p w:rsidR="00ED46BB" w:rsidRDefault="00ED46BB" w:rsidP="004F062C">
            <w:pPr>
              <w:ind w:left="20" w:right="20"/>
              <w:jc w:val="both"/>
              <w:rPr>
                <w:rFonts w:cs="Times New Roman"/>
                <w:lang w:val="uk-UA"/>
              </w:rPr>
            </w:pPr>
            <w:r>
              <w:rPr>
                <w:rFonts w:cs="Times New Roman"/>
                <w:color w:val="000000"/>
                <w:lang w:val="en-US"/>
              </w:rPr>
              <w:t>Three essential priorities for a Competitive European Security Industry and a Secure Society</w:t>
            </w:r>
          </w:p>
        </w:tc>
        <w:tc>
          <w:tcPr>
            <w:tcW w:w="5670" w:type="dxa"/>
            <w:tcBorders>
              <w:left w:val="single" w:sz="1" w:space="0" w:color="000000"/>
              <w:bottom w:val="single" w:sz="1" w:space="0" w:color="000000"/>
              <w:right w:val="single" w:sz="1" w:space="0" w:color="000000"/>
            </w:tcBorders>
          </w:tcPr>
          <w:p w:rsidR="00ED46BB" w:rsidRDefault="00ED46BB" w:rsidP="004F062C">
            <w:pPr>
              <w:pStyle w:val="a3"/>
              <w:snapToGrid w:val="0"/>
              <w:jc w:val="both"/>
              <w:rPr>
                <w:rFonts w:cs="Times New Roman"/>
                <w:lang w:val="uk-UA"/>
              </w:rPr>
            </w:pPr>
            <w:r>
              <w:rPr>
                <w:rFonts w:cs="Times New Roman"/>
                <w:lang w:val="uk-UA"/>
              </w:rPr>
              <w:t>Три основні пріоритети для конкурентоздатної європейської індустрії безпеки і безпечного суспільства</w:t>
            </w:r>
          </w:p>
        </w:tc>
      </w:tr>
      <w:tr w:rsidR="00ED46BB" w:rsidRPr="00047882" w:rsidTr="004F062C">
        <w:tc>
          <w:tcPr>
            <w:tcW w:w="5104" w:type="dxa"/>
            <w:tcBorders>
              <w:left w:val="single" w:sz="1" w:space="0" w:color="000000"/>
              <w:bottom w:val="single" w:sz="1" w:space="0" w:color="000000"/>
            </w:tcBorders>
            <w:shd w:val="clear" w:color="auto" w:fill="auto"/>
          </w:tcPr>
          <w:p w:rsidR="00ED46BB" w:rsidRDefault="00ED46BB" w:rsidP="002546AB">
            <w:pPr>
              <w:tabs>
                <w:tab w:val="left" w:pos="9195"/>
              </w:tabs>
              <w:ind w:left="280" w:right="20" w:hanging="280"/>
              <w:rPr>
                <w:rFonts w:cs="Times New Roman"/>
                <w:b/>
                <w:lang w:val="uk-UA"/>
              </w:rPr>
            </w:pPr>
            <w:r>
              <w:rPr>
                <w:rFonts w:cs="Times New Roman"/>
                <w:b/>
                <w:color w:val="000000"/>
                <w:lang w:val="en-US"/>
              </w:rPr>
              <w:t>1. Developing a functioning internal European market for fire and security.</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b/>
                <w:lang w:val="uk-UA"/>
              </w:rPr>
            </w:pPr>
            <w:r>
              <w:rPr>
                <w:rFonts w:cs="Times New Roman"/>
                <w:b/>
                <w:lang w:val="uk-UA"/>
              </w:rPr>
              <w:t>1. Р</w:t>
            </w:r>
            <w:r w:rsidRPr="00C64EB0">
              <w:rPr>
                <w:rFonts w:cs="Times New Roman"/>
                <w:b/>
                <w:lang w:val="uk-UA"/>
              </w:rPr>
              <w:t xml:space="preserve">озвиток </w:t>
            </w:r>
            <w:r>
              <w:rPr>
                <w:rFonts w:cs="Times New Roman"/>
                <w:b/>
                <w:lang w:val="uk-UA"/>
              </w:rPr>
              <w:t xml:space="preserve">ефективного </w:t>
            </w:r>
            <w:r w:rsidRPr="00C64EB0">
              <w:rPr>
                <w:rFonts w:cs="Times New Roman"/>
                <w:b/>
                <w:lang w:val="uk-UA"/>
              </w:rPr>
              <w:t>внутрішнього європейського ринку пожежної безпеки та охорони</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ind w:left="20" w:right="20"/>
              <w:rPr>
                <w:rFonts w:cs="Times New Roman"/>
                <w:lang w:val="uk-UA"/>
              </w:rPr>
            </w:pPr>
            <w:r>
              <w:rPr>
                <w:rFonts w:cs="Times New Roman"/>
                <w:color w:val="000000"/>
                <w:lang w:val="en-US"/>
              </w:rPr>
              <w:t>This must be the first and foremost priority. It is the essential condition to allow the European security industry to fulfill its potential and compete successfully at European and global level.</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lang w:val="uk-UA"/>
              </w:rPr>
            </w:pPr>
            <w:r>
              <w:rPr>
                <w:rFonts w:cs="Times New Roman"/>
                <w:lang w:val="uk-UA"/>
              </w:rPr>
              <w:t xml:space="preserve">Це повинно бути першим і безумовним пріоритетом. Це - необхідна умова для </w:t>
            </w:r>
            <w:r w:rsidRPr="009965D3">
              <w:rPr>
                <w:rFonts w:cs="Times New Roman"/>
                <w:lang w:val="uk-UA"/>
              </w:rPr>
              <w:t>реаліз</w:t>
            </w:r>
            <w:r>
              <w:rPr>
                <w:rFonts w:cs="Times New Roman"/>
                <w:lang w:val="uk-UA"/>
              </w:rPr>
              <w:t>ації</w:t>
            </w:r>
            <w:r w:rsidRPr="009965D3">
              <w:rPr>
                <w:rFonts w:cs="Times New Roman"/>
                <w:lang w:val="uk-UA"/>
              </w:rPr>
              <w:t xml:space="preserve"> </w:t>
            </w:r>
            <w:r>
              <w:rPr>
                <w:rFonts w:cs="Times New Roman"/>
                <w:lang w:val="uk-UA"/>
              </w:rPr>
              <w:t>європейською індустрією безпеки свого потенціалу і успішної конкуренції на європейському і глобальному ринках.</w:t>
            </w:r>
          </w:p>
        </w:tc>
      </w:tr>
      <w:tr w:rsidR="00ED46BB" w:rsidTr="004F062C">
        <w:tc>
          <w:tcPr>
            <w:tcW w:w="5104" w:type="dxa"/>
            <w:tcBorders>
              <w:left w:val="single" w:sz="1" w:space="0" w:color="000000"/>
              <w:bottom w:val="single" w:sz="1" w:space="0" w:color="000000"/>
            </w:tcBorders>
            <w:shd w:val="clear" w:color="auto" w:fill="auto"/>
          </w:tcPr>
          <w:p w:rsidR="00ED46BB" w:rsidRDefault="00ED46BB" w:rsidP="002546AB">
            <w:pPr>
              <w:ind w:left="280" w:hanging="280"/>
              <w:rPr>
                <w:rFonts w:cs="Times New Roman"/>
                <w:lang w:val="uk-UA"/>
              </w:rPr>
            </w:pPr>
            <w:r>
              <w:rPr>
                <w:rFonts w:cs="Times New Roman"/>
                <w:color w:val="000000"/>
                <w:lang w:val="en-US"/>
              </w:rPr>
              <w:t>Euralarm calls for:</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lang w:val="uk-UA"/>
              </w:rPr>
            </w:pPr>
            <w:r>
              <w:rPr>
                <w:rFonts w:cs="Times New Roman"/>
                <w:lang w:val="uk-UA"/>
              </w:rPr>
              <w:t>Euralarm закликає до:</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ind w:left="280" w:right="20" w:hanging="280"/>
              <w:rPr>
                <w:rFonts w:cs="Times New Roman"/>
                <w:lang w:val="uk-UA"/>
              </w:rPr>
            </w:pPr>
            <w:r>
              <w:rPr>
                <w:rFonts w:eastAsia="Times New Roman" w:cs="Times New Roman"/>
                <w:color w:val="000000"/>
                <w:lang w:val="uk-UA"/>
              </w:rPr>
              <w:t>•</w:t>
            </w:r>
            <w:r>
              <w:rPr>
                <w:rFonts w:cs="Times New Roman"/>
                <w:color w:val="000000"/>
                <w:lang w:val="uk-UA"/>
              </w:rPr>
              <w:tab/>
            </w:r>
            <w:r>
              <w:rPr>
                <w:rFonts w:cs="Times New Roman"/>
                <w:color w:val="000000"/>
                <w:lang w:val="en-US"/>
              </w:rPr>
              <w:t>The development of a coherent, efficient and comprehensive EU standardization framework for electronic fire and security products, systems and services.</w:t>
            </w:r>
          </w:p>
        </w:tc>
        <w:tc>
          <w:tcPr>
            <w:tcW w:w="5670" w:type="dxa"/>
            <w:tcBorders>
              <w:left w:val="single" w:sz="1" w:space="0" w:color="000000"/>
              <w:bottom w:val="single" w:sz="1" w:space="0" w:color="000000"/>
              <w:right w:val="single" w:sz="1" w:space="0" w:color="000000"/>
            </w:tcBorders>
          </w:tcPr>
          <w:p w:rsidR="00ED46BB" w:rsidRPr="00047882" w:rsidRDefault="00ED46BB" w:rsidP="002546AB">
            <w:pPr>
              <w:pStyle w:val="a3"/>
              <w:snapToGrid w:val="0"/>
              <w:rPr>
                <w:rFonts w:cs="Times New Roman"/>
                <w:color w:val="000000"/>
                <w:lang w:val="uk-UA"/>
              </w:rPr>
            </w:pPr>
            <w:r>
              <w:rPr>
                <w:rFonts w:cs="Times New Roman"/>
                <w:lang w:val="uk-UA"/>
              </w:rPr>
              <w:t>- Розроблення інтегрованої, ефективної і усебічної рамкової програми європейської стандартизації для сфери пожежної безпеки та охорони щодо технічних засобів, систем і послуг.</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ind w:left="280" w:right="20" w:hanging="280"/>
              <w:rPr>
                <w:rFonts w:cs="Times New Roman"/>
                <w:lang w:val="uk-UA"/>
              </w:rPr>
            </w:pPr>
            <w:r w:rsidRPr="00047882">
              <w:rPr>
                <w:rFonts w:cs="Times New Roman"/>
                <w:color w:val="000000"/>
                <w:lang w:val="en-US"/>
              </w:rPr>
              <w:t>•</w:t>
            </w:r>
            <w:r w:rsidRPr="00047882">
              <w:rPr>
                <w:rFonts w:cs="Times New Roman"/>
                <w:color w:val="000000"/>
                <w:lang w:val="en-US"/>
              </w:rPr>
              <w:tab/>
              <w:t>T</w:t>
            </w:r>
            <w:r>
              <w:rPr>
                <w:rFonts w:cs="Times New Roman"/>
                <w:color w:val="000000"/>
                <w:lang w:val="en-US"/>
              </w:rPr>
              <w:t xml:space="preserve">he adoption of a legally binding pan-Europe certification scheme for electronic fire and </w:t>
            </w:r>
            <w:r>
              <w:rPr>
                <w:rFonts w:cs="Times New Roman"/>
                <w:color w:val="000000"/>
                <w:lang w:val="en-US"/>
              </w:rPr>
              <w:lastRenderedPageBreak/>
              <w:t>security products and services.</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eastAsia="Times New Roman" w:cs="Times New Roman"/>
                <w:color w:val="000000"/>
                <w:lang w:val="uk-UA"/>
              </w:rPr>
            </w:pPr>
            <w:r>
              <w:rPr>
                <w:rFonts w:cs="Times New Roman"/>
                <w:lang w:val="uk-UA"/>
              </w:rPr>
              <w:lastRenderedPageBreak/>
              <w:t>- Затвердження обов</w:t>
            </w:r>
            <w:r w:rsidRPr="00365E14">
              <w:rPr>
                <w:rFonts w:cs="Times New Roman"/>
                <w:lang w:val="uk-UA"/>
              </w:rPr>
              <w:t>’</w:t>
            </w:r>
            <w:r>
              <w:rPr>
                <w:rFonts w:cs="Times New Roman"/>
                <w:lang w:val="uk-UA"/>
              </w:rPr>
              <w:t xml:space="preserve">язкової до застосування  загальноєвропейської системи сертифікації для </w:t>
            </w:r>
            <w:r w:rsidRPr="005A4D06">
              <w:rPr>
                <w:rFonts w:cs="Times New Roman"/>
                <w:lang w:val="uk-UA"/>
              </w:rPr>
              <w:t xml:space="preserve">сфери </w:t>
            </w:r>
            <w:r w:rsidRPr="005A4D06">
              <w:rPr>
                <w:rFonts w:cs="Times New Roman"/>
                <w:lang w:val="uk-UA"/>
              </w:rPr>
              <w:lastRenderedPageBreak/>
              <w:t>пожежної безпеки та охорони щодо технічних засобів</w:t>
            </w:r>
            <w:r>
              <w:rPr>
                <w:rFonts w:cs="Times New Roman"/>
                <w:lang w:val="uk-UA"/>
              </w:rPr>
              <w:t xml:space="preserve"> </w:t>
            </w:r>
            <w:r w:rsidRPr="005A4D06">
              <w:rPr>
                <w:rFonts w:cs="Times New Roman"/>
                <w:lang w:val="uk-UA"/>
              </w:rPr>
              <w:t>і послуг</w:t>
            </w:r>
            <w:r>
              <w:rPr>
                <w:rFonts w:cs="Times New Roman"/>
                <w:lang w:val="uk-UA"/>
              </w:rPr>
              <w:t>.</w:t>
            </w:r>
          </w:p>
        </w:tc>
      </w:tr>
      <w:tr w:rsidR="00ED46BB" w:rsidTr="004F062C">
        <w:tc>
          <w:tcPr>
            <w:tcW w:w="5104" w:type="dxa"/>
            <w:tcBorders>
              <w:left w:val="single" w:sz="1" w:space="0" w:color="000000"/>
              <w:bottom w:val="single" w:sz="1" w:space="0" w:color="000000"/>
            </w:tcBorders>
            <w:shd w:val="clear" w:color="auto" w:fill="auto"/>
          </w:tcPr>
          <w:p w:rsidR="00ED46BB" w:rsidRDefault="00ED46BB" w:rsidP="002546AB">
            <w:pPr>
              <w:ind w:left="280" w:right="160" w:hanging="280"/>
              <w:jc w:val="both"/>
              <w:rPr>
                <w:rFonts w:cs="Times New Roman"/>
                <w:lang w:val="uk-UA"/>
              </w:rPr>
            </w:pPr>
            <w:r>
              <w:rPr>
                <w:rFonts w:eastAsia="Times New Roman" w:cs="Times New Roman"/>
                <w:color w:val="000000"/>
                <w:lang w:val="uk-UA"/>
              </w:rPr>
              <w:lastRenderedPageBreak/>
              <w:t>•</w:t>
            </w:r>
            <w:r>
              <w:rPr>
                <w:rFonts w:cs="Times New Roman"/>
                <w:color w:val="000000"/>
                <w:lang w:val="uk-UA"/>
              </w:rPr>
              <w:tab/>
            </w:r>
            <w:r>
              <w:rPr>
                <w:rFonts w:cs="Times New Roman"/>
                <w:color w:val="000000"/>
                <w:lang w:val="en-US"/>
              </w:rPr>
              <w:t>The full implementation of the Services Directive in the area of electronic fire and security services and related activities.</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b/>
                <w:bCs/>
                <w:color w:val="000000"/>
                <w:lang w:val="uk-UA"/>
              </w:rPr>
            </w:pPr>
            <w:r>
              <w:rPr>
                <w:rFonts w:cs="Times New Roman"/>
                <w:lang w:val="uk-UA"/>
              </w:rPr>
              <w:t>- Повного впровадження Сервісної  Директиви у сфері послуг щодо технічних засобів пожежної безпеки та охорони, а також суміжних видів діяльності.</w:t>
            </w:r>
          </w:p>
        </w:tc>
      </w:tr>
      <w:tr w:rsidR="00ED46BB" w:rsidRPr="00047882" w:rsidTr="004F062C">
        <w:tc>
          <w:tcPr>
            <w:tcW w:w="5104" w:type="dxa"/>
            <w:tcBorders>
              <w:left w:val="single" w:sz="1" w:space="0" w:color="000000"/>
              <w:bottom w:val="single" w:sz="1" w:space="0" w:color="000000"/>
            </w:tcBorders>
            <w:shd w:val="clear" w:color="auto" w:fill="auto"/>
          </w:tcPr>
          <w:p w:rsidR="00ED46BB" w:rsidRDefault="00ED46BB" w:rsidP="002546AB">
            <w:pPr>
              <w:ind w:left="360" w:right="340" w:hanging="340"/>
              <w:rPr>
                <w:rFonts w:cs="Times New Roman"/>
                <w:b/>
                <w:bCs/>
                <w:lang w:val="uk-UA"/>
              </w:rPr>
            </w:pPr>
            <w:r>
              <w:rPr>
                <w:rFonts w:cs="Times New Roman"/>
                <w:b/>
                <w:bCs/>
                <w:color w:val="000000"/>
                <w:lang w:val="uk-UA"/>
              </w:rPr>
              <w:t>2.</w:t>
            </w:r>
            <w:r>
              <w:rPr>
                <w:rFonts w:cs="Times New Roman"/>
                <w:b/>
                <w:bCs/>
                <w:color w:val="000000"/>
                <w:lang w:val="uk-UA"/>
              </w:rPr>
              <w:tab/>
            </w:r>
            <w:r>
              <w:rPr>
                <w:rFonts w:cs="Times New Roman"/>
                <w:b/>
                <w:color w:val="000000"/>
                <w:lang w:val="en-US"/>
              </w:rPr>
              <w:t>Ensuring the highest levels of security and fire safety for all</w:t>
            </w:r>
          </w:p>
        </w:tc>
        <w:tc>
          <w:tcPr>
            <w:tcW w:w="5670" w:type="dxa"/>
            <w:tcBorders>
              <w:left w:val="single" w:sz="1" w:space="0" w:color="000000"/>
              <w:bottom w:val="single" w:sz="1" w:space="0" w:color="000000"/>
              <w:right w:val="single" w:sz="1" w:space="0" w:color="000000"/>
            </w:tcBorders>
          </w:tcPr>
          <w:p w:rsidR="00ED46BB" w:rsidRPr="00047882" w:rsidRDefault="00ED46BB" w:rsidP="002546AB">
            <w:pPr>
              <w:pStyle w:val="a3"/>
              <w:snapToGrid w:val="0"/>
              <w:rPr>
                <w:rFonts w:cs="Times New Roman"/>
                <w:color w:val="000000"/>
              </w:rPr>
            </w:pPr>
            <w:r>
              <w:rPr>
                <w:rFonts w:cs="Times New Roman"/>
                <w:b/>
                <w:bCs/>
                <w:lang w:val="uk-UA"/>
              </w:rPr>
              <w:t>2. Забезпечення найвищої якості охорони і пожежної безпеки для всіх</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ind w:left="20" w:right="80"/>
              <w:rPr>
                <w:rFonts w:cs="Times New Roman"/>
                <w:lang w:val="uk-UA"/>
              </w:rPr>
            </w:pPr>
            <w:r>
              <w:rPr>
                <w:rFonts w:cs="Times New Roman"/>
                <w:color w:val="000000"/>
                <w:lang w:val="en-US"/>
              </w:rPr>
              <w:t>Beyond the internal market and the security industrial policy, there are several areas where there is a clear opportunity for regulatory action to improve the safety and security of EU citizens.</w:t>
            </w:r>
          </w:p>
        </w:tc>
        <w:tc>
          <w:tcPr>
            <w:tcW w:w="5670" w:type="dxa"/>
            <w:tcBorders>
              <w:left w:val="single" w:sz="1" w:space="0" w:color="000000"/>
              <w:bottom w:val="single" w:sz="1" w:space="0" w:color="000000"/>
              <w:right w:val="single" w:sz="1" w:space="0" w:color="000000"/>
            </w:tcBorders>
          </w:tcPr>
          <w:p w:rsidR="00ED46BB" w:rsidRPr="00047882" w:rsidRDefault="00ED46BB" w:rsidP="002546AB">
            <w:pPr>
              <w:pStyle w:val="a3"/>
              <w:snapToGrid w:val="0"/>
              <w:rPr>
                <w:rFonts w:cs="Times New Roman"/>
                <w:color w:val="000000"/>
                <w:lang w:val="uk-UA"/>
              </w:rPr>
            </w:pPr>
            <w:r>
              <w:rPr>
                <w:rFonts w:cs="Times New Roman"/>
                <w:lang w:val="uk-UA"/>
              </w:rPr>
              <w:t xml:space="preserve">Окрім розвитку внутрішнього ринку і політики індустрії безпеки є декілька областей, де чітко простежується можливість </w:t>
            </w:r>
            <w:r w:rsidRPr="008B4417">
              <w:rPr>
                <w:rFonts w:cs="Times New Roman"/>
                <w:lang w:val="uk-UA"/>
              </w:rPr>
              <w:t xml:space="preserve">регуляторними діями </w:t>
            </w:r>
            <w:r>
              <w:rPr>
                <w:rFonts w:cs="Times New Roman"/>
                <w:lang w:val="uk-UA"/>
              </w:rPr>
              <w:t>поліпшити безпеку громадян ЄС.</w:t>
            </w:r>
          </w:p>
        </w:tc>
      </w:tr>
      <w:tr w:rsidR="00ED46BB" w:rsidTr="004F062C">
        <w:tc>
          <w:tcPr>
            <w:tcW w:w="5104" w:type="dxa"/>
            <w:tcBorders>
              <w:left w:val="single" w:sz="1" w:space="0" w:color="000000"/>
              <w:bottom w:val="single" w:sz="1" w:space="0" w:color="000000"/>
            </w:tcBorders>
            <w:shd w:val="clear" w:color="auto" w:fill="auto"/>
          </w:tcPr>
          <w:p w:rsidR="00ED46BB" w:rsidRDefault="00ED46BB" w:rsidP="002546AB">
            <w:pPr>
              <w:ind w:left="20" w:right="80"/>
              <w:rPr>
                <w:rFonts w:cs="Times New Roman"/>
                <w:lang w:val="uk-UA"/>
              </w:rPr>
            </w:pPr>
            <w:r>
              <w:rPr>
                <w:rFonts w:cs="Times New Roman"/>
                <w:color w:val="000000"/>
                <w:lang w:val="en-US"/>
              </w:rPr>
              <w:t>Euralarm calls for:</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color w:val="000000"/>
                <w:lang w:val="en-US"/>
              </w:rPr>
            </w:pPr>
            <w:r>
              <w:rPr>
                <w:rFonts w:cs="Times New Roman"/>
                <w:lang w:val="uk-UA"/>
              </w:rPr>
              <w:t>Euralarm закликає до:</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numPr>
                <w:ilvl w:val="0"/>
                <w:numId w:val="1"/>
              </w:numPr>
              <w:ind w:left="305" w:right="5" w:hanging="210"/>
              <w:jc w:val="both"/>
              <w:rPr>
                <w:rFonts w:cs="Times New Roman"/>
                <w:lang w:val="uk-UA"/>
              </w:rPr>
            </w:pPr>
            <w:r>
              <w:rPr>
                <w:rFonts w:cs="Times New Roman"/>
                <w:color w:val="000000"/>
                <w:lang w:val="en-US"/>
              </w:rPr>
              <w:t>The development of pan-European standards to ensure a common integrated solution for mass notification and public alert systems.</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lang w:val="uk-UA"/>
              </w:rPr>
            </w:pPr>
            <w:r>
              <w:rPr>
                <w:rFonts w:cs="Times New Roman"/>
                <w:lang w:val="uk-UA"/>
              </w:rPr>
              <w:t>- Розроблення загальноєвропейських стандартів з метою забезпечення інтегрованого рішення у сфері оповіщення населення і сповіщення про надзвичайні ситуації.</w:t>
            </w:r>
          </w:p>
        </w:tc>
      </w:tr>
      <w:tr w:rsidR="00ED46BB" w:rsidRPr="00047882" w:rsidTr="004F062C">
        <w:tc>
          <w:tcPr>
            <w:tcW w:w="5104" w:type="dxa"/>
            <w:tcBorders>
              <w:left w:val="single" w:sz="1" w:space="0" w:color="000000"/>
              <w:bottom w:val="single" w:sz="1" w:space="0" w:color="000000"/>
            </w:tcBorders>
            <w:shd w:val="clear" w:color="auto" w:fill="auto"/>
          </w:tcPr>
          <w:p w:rsidR="00ED46BB" w:rsidRDefault="00ED46BB" w:rsidP="002546AB">
            <w:pPr>
              <w:numPr>
                <w:ilvl w:val="0"/>
                <w:numId w:val="1"/>
              </w:numPr>
              <w:ind w:left="305" w:right="5" w:hanging="210"/>
              <w:jc w:val="both"/>
              <w:rPr>
                <w:rFonts w:cs="Times New Roman"/>
                <w:lang w:val="uk-UA"/>
              </w:rPr>
            </w:pPr>
            <w:r>
              <w:rPr>
                <w:rFonts w:cs="Times New Roman"/>
                <w:color w:val="000000"/>
                <w:lang w:val="en-US"/>
              </w:rPr>
              <w:t>The adoption of a European directive on hotel fire safety to ensure a uniform level of protection for travelers all across the EU.</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lang w:val="uk-UA"/>
              </w:rPr>
            </w:pPr>
            <w:r>
              <w:rPr>
                <w:rFonts w:cs="Times New Roman"/>
                <w:lang w:val="uk-UA"/>
              </w:rPr>
              <w:t>- Прийняття Європейської директиви щодо пожежної безпеки готелів, щоб гарантувати однаковий рівень захисту для туристів в усіх країнах ЄС.</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numPr>
                <w:ilvl w:val="0"/>
                <w:numId w:val="1"/>
              </w:numPr>
              <w:ind w:left="305" w:right="5" w:hanging="210"/>
              <w:jc w:val="both"/>
              <w:rPr>
                <w:rFonts w:cs="Times New Roman"/>
                <w:lang w:val="uk-UA"/>
              </w:rPr>
            </w:pPr>
            <w:r>
              <w:rPr>
                <w:rFonts w:cs="Times New Roman"/>
                <w:color w:val="000000"/>
                <w:lang w:val="en-US"/>
              </w:rPr>
              <w:t>Public authorities to take into account fire safety and security needs when complying with new EU energy efficiency requirements in buildings.</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lang w:val="uk-UA"/>
              </w:rPr>
            </w:pPr>
            <w:r>
              <w:rPr>
                <w:rFonts w:cs="Times New Roman"/>
                <w:lang w:val="uk-UA"/>
              </w:rPr>
              <w:t>- Врахування органами влади необхідності забезпечення пожежної і загальної безпеки у процесі виконання нових вимог ЄС щодо енергетичної ефективності будівель.</w:t>
            </w:r>
          </w:p>
        </w:tc>
      </w:tr>
      <w:tr w:rsidR="00ED46BB" w:rsidRPr="00047882" w:rsidTr="004F062C">
        <w:tc>
          <w:tcPr>
            <w:tcW w:w="5104" w:type="dxa"/>
            <w:tcBorders>
              <w:left w:val="single" w:sz="1" w:space="0" w:color="000000"/>
              <w:bottom w:val="single" w:sz="1" w:space="0" w:color="000000"/>
            </w:tcBorders>
            <w:shd w:val="clear" w:color="auto" w:fill="auto"/>
          </w:tcPr>
          <w:p w:rsidR="00ED46BB" w:rsidRDefault="00ED46BB" w:rsidP="002546AB">
            <w:pPr>
              <w:ind w:left="360" w:right="80" w:hanging="340"/>
              <w:rPr>
                <w:rFonts w:cs="Times New Roman"/>
                <w:b/>
                <w:bCs/>
                <w:lang w:val="uk-UA"/>
              </w:rPr>
            </w:pPr>
            <w:r>
              <w:rPr>
                <w:rFonts w:cs="Times New Roman"/>
                <w:b/>
                <w:bCs/>
                <w:color w:val="000000"/>
                <w:lang w:val="uk-UA"/>
              </w:rPr>
              <w:t>3.</w:t>
            </w:r>
            <w:r>
              <w:rPr>
                <w:rFonts w:cs="Times New Roman"/>
                <w:b/>
                <w:bCs/>
                <w:color w:val="000000"/>
                <w:lang w:val="uk-UA"/>
              </w:rPr>
              <w:tab/>
            </w:r>
            <w:r>
              <w:rPr>
                <w:rFonts w:cs="Times New Roman"/>
                <w:b/>
                <w:bCs/>
                <w:color w:val="000000"/>
                <w:lang w:val="en-US"/>
              </w:rPr>
              <w:t>Fostering the competitiveness of the EU security industry in the global market</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b/>
                <w:bCs/>
                <w:lang w:val="uk-UA"/>
              </w:rPr>
            </w:pPr>
            <w:r>
              <w:rPr>
                <w:rFonts w:cs="Times New Roman"/>
                <w:b/>
                <w:bCs/>
                <w:lang w:val="uk-UA"/>
              </w:rPr>
              <w:t>3. Зміцнення конкурентоспроможності індустрії безпеки ЄС на глобальному ринку</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ind w:left="20" w:right="20"/>
              <w:jc w:val="both"/>
              <w:rPr>
                <w:lang w:val="uk-UA"/>
              </w:rPr>
            </w:pPr>
            <w:r>
              <w:rPr>
                <w:rFonts w:cs="Times New Roman"/>
                <w:color w:val="000000"/>
                <w:lang w:val="en-US"/>
              </w:rPr>
              <w:t>Many of the major European players conduct a significant share of their business outside the EU and are facing fierce competition in the global sphere. It is of vital importance to the development of a vibrant and competitive European security industry that the global security market remains open and accessible.</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lang w:val="uk-UA"/>
              </w:rPr>
            </w:pPr>
            <w:r w:rsidRPr="008C741E">
              <w:rPr>
                <w:lang w:val="uk-UA"/>
              </w:rPr>
              <w:t>Багато з  провідних гравців європейського ринку вагому частку свого бізнесу здійснюють за межами ЄС та стикаються з умовами жорсткої конкуренції на глобальному рівні. Життєво важливим для розвитку динамічної та конкурентоздатної європейської галузі безпеки є відкритість та доступність світового ринку безпеки.</w:t>
            </w:r>
          </w:p>
        </w:tc>
      </w:tr>
      <w:tr w:rsidR="00ED46BB" w:rsidTr="004F062C">
        <w:tc>
          <w:tcPr>
            <w:tcW w:w="5104" w:type="dxa"/>
            <w:tcBorders>
              <w:left w:val="single" w:sz="1" w:space="0" w:color="000000"/>
              <w:bottom w:val="single" w:sz="1" w:space="0" w:color="000000"/>
            </w:tcBorders>
            <w:shd w:val="clear" w:color="auto" w:fill="auto"/>
          </w:tcPr>
          <w:p w:rsidR="00ED46BB" w:rsidRDefault="00ED46BB" w:rsidP="002546AB">
            <w:pPr>
              <w:ind w:left="360" w:hanging="340"/>
              <w:rPr>
                <w:rFonts w:cs="Times New Roman"/>
                <w:lang w:val="uk-UA"/>
              </w:rPr>
            </w:pPr>
            <w:r>
              <w:rPr>
                <w:rFonts w:cs="Times New Roman"/>
                <w:color w:val="000000"/>
                <w:lang w:val="en-US"/>
              </w:rPr>
              <w:t>Euralarm calls for:</w:t>
            </w:r>
          </w:p>
        </w:tc>
        <w:tc>
          <w:tcPr>
            <w:tcW w:w="5670" w:type="dxa"/>
            <w:tcBorders>
              <w:left w:val="single" w:sz="1" w:space="0" w:color="000000"/>
              <w:bottom w:val="single" w:sz="1" w:space="0" w:color="000000"/>
              <w:right w:val="single" w:sz="1" w:space="0" w:color="000000"/>
            </w:tcBorders>
          </w:tcPr>
          <w:p w:rsidR="00ED46BB" w:rsidRDefault="00ED46BB" w:rsidP="00ED46BB">
            <w:pPr>
              <w:pStyle w:val="a3"/>
              <w:snapToGrid w:val="0"/>
              <w:rPr>
                <w:rFonts w:cs="Times New Roman"/>
                <w:lang w:val="uk-UA"/>
              </w:rPr>
            </w:pPr>
            <w:r w:rsidRPr="008C741E">
              <w:rPr>
                <w:rFonts w:cs="Times New Roman"/>
                <w:lang w:val="uk-UA"/>
              </w:rPr>
              <w:t>Euralarm закликає до:</w:t>
            </w:r>
          </w:p>
        </w:tc>
      </w:tr>
      <w:tr w:rsidR="00ED46BB" w:rsidRPr="00047882" w:rsidTr="004F062C">
        <w:tc>
          <w:tcPr>
            <w:tcW w:w="5104" w:type="dxa"/>
            <w:tcBorders>
              <w:left w:val="single" w:sz="1" w:space="0" w:color="000000"/>
              <w:bottom w:val="single" w:sz="1" w:space="0" w:color="000000"/>
            </w:tcBorders>
            <w:shd w:val="clear" w:color="auto" w:fill="auto"/>
          </w:tcPr>
          <w:p w:rsidR="00ED46BB" w:rsidRDefault="00ED46BB" w:rsidP="002546AB">
            <w:pPr>
              <w:numPr>
                <w:ilvl w:val="0"/>
                <w:numId w:val="2"/>
              </w:numPr>
              <w:tabs>
                <w:tab w:val="left" w:pos="375"/>
              </w:tabs>
              <w:ind w:left="335" w:right="5" w:hanging="285"/>
              <w:rPr>
                <w:rFonts w:cs="Times New Roman"/>
                <w:lang w:val="uk-UA"/>
              </w:rPr>
            </w:pPr>
            <w:r>
              <w:rPr>
                <w:rFonts w:cs="Times New Roman"/>
                <w:color w:val="000000"/>
                <w:lang w:val="en-US"/>
              </w:rPr>
              <w:t>The introduction of European legislation to regulate 3rd party liability limitation. Its absence weakens the EU's industrial base, hampers investment, and lowers the deployment of innovative security technologies and services in Europe.</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lang w:val="uk-UA"/>
              </w:rPr>
            </w:pPr>
            <w:r>
              <w:rPr>
                <w:rFonts w:cs="Times New Roman"/>
                <w:lang w:val="uk-UA"/>
              </w:rPr>
              <w:t>- введення Європейського законодавства щодо регулювання обмеження відповідальності перед третіми особами. Відсутність такого регулювання послаблює промислову базу ЄС, перешкоджає інвестиціям і призводить до скорочення впровадження в Європі інноваційних технологій та послуг у сфері безпеки.</w:t>
            </w:r>
          </w:p>
        </w:tc>
      </w:tr>
      <w:tr w:rsidR="00ED46BB" w:rsidRPr="005A4889" w:rsidTr="004F062C">
        <w:tc>
          <w:tcPr>
            <w:tcW w:w="5104" w:type="dxa"/>
            <w:tcBorders>
              <w:left w:val="single" w:sz="1" w:space="0" w:color="000000"/>
              <w:bottom w:val="single" w:sz="1" w:space="0" w:color="000000"/>
            </w:tcBorders>
            <w:shd w:val="clear" w:color="auto" w:fill="auto"/>
          </w:tcPr>
          <w:p w:rsidR="00ED46BB" w:rsidRDefault="00ED46BB" w:rsidP="002546AB">
            <w:pPr>
              <w:numPr>
                <w:ilvl w:val="0"/>
                <w:numId w:val="2"/>
              </w:numPr>
              <w:tabs>
                <w:tab w:val="left" w:pos="375"/>
              </w:tabs>
              <w:ind w:left="335" w:right="5" w:hanging="285"/>
              <w:rPr>
                <w:rFonts w:cs="Times New Roman"/>
                <w:lang w:val="uk-UA"/>
              </w:rPr>
            </w:pPr>
            <w:r>
              <w:rPr>
                <w:rFonts w:cs="Times New Roman"/>
                <w:color w:val="000000"/>
                <w:lang w:val="en-US"/>
              </w:rPr>
              <w:t xml:space="preserve">Ensuring that EU trade policies enhance international market access through mutual openness, recognition and </w:t>
            </w:r>
            <w:proofErr w:type="spellStart"/>
            <w:r>
              <w:rPr>
                <w:rFonts w:cs="Times New Roman"/>
                <w:color w:val="000000"/>
                <w:lang w:val="en-US"/>
              </w:rPr>
              <w:t>standardisation</w:t>
            </w:r>
            <w:proofErr w:type="spellEnd"/>
            <w:r>
              <w:rPr>
                <w:rFonts w:cs="Times New Roman"/>
                <w:color w:val="000000"/>
                <w:lang w:val="en-US"/>
              </w:rPr>
              <w:t xml:space="preserve"> for security products and services.</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lang w:val="uk-UA"/>
              </w:rPr>
            </w:pPr>
            <w:r>
              <w:rPr>
                <w:rFonts w:cs="Times New Roman"/>
                <w:lang w:val="uk-UA"/>
              </w:rPr>
              <w:t>- реалізації торгової політики ЄС, націленої на збільшення доступу до міжнародних ринків через взаємну відкритість, визнання та стандартизацію у сфері продукції і послуг з безпеки.</w:t>
            </w:r>
          </w:p>
        </w:tc>
      </w:tr>
      <w:tr w:rsidR="00ED46BB" w:rsidRPr="00047882" w:rsidTr="004F062C">
        <w:tc>
          <w:tcPr>
            <w:tcW w:w="5104" w:type="dxa"/>
            <w:tcBorders>
              <w:left w:val="single" w:sz="1" w:space="0" w:color="000000"/>
              <w:bottom w:val="single" w:sz="1" w:space="0" w:color="000000"/>
            </w:tcBorders>
            <w:shd w:val="clear" w:color="auto" w:fill="auto"/>
          </w:tcPr>
          <w:p w:rsidR="00ED46BB" w:rsidRDefault="00ED46BB" w:rsidP="002546AB">
            <w:pPr>
              <w:keepNext/>
              <w:keepLines/>
              <w:ind w:right="260"/>
              <w:jc w:val="right"/>
              <w:rPr>
                <w:rFonts w:cs="Times New Roman"/>
                <w:i/>
                <w:iCs/>
                <w:sz w:val="20"/>
                <w:szCs w:val="20"/>
                <w:lang w:val="uk-UA"/>
              </w:rPr>
            </w:pPr>
            <w:r>
              <w:rPr>
                <w:rFonts w:cs="Times New Roman"/>
                <w:i/>
                <w:iCs/>
                <w:color w:val="000000"/>
                <w:sz w:val="20"/>
                <w:szCs w:val="20"/>
                <w:lang w:val="en-US"/>
              </w:rPr>
              <w:t>Note: The English version of this document, WP-0101-1304-0101, is the approved Euralarm reference document.</w:t>
            </w:r>
          </w:p>
        </w:tc>
        <w:tc>
          <w:tcPr>
            <w:tcW w:w="5670" w:type="dxa"/>
            <w:tcBorders>
              <w:left w:val="single" w:sz="1" w:space="0" w:color="000000"/>
              <w:bottom w:val="single" w:sz="1" w:space="0" w:color="000000"/>
              <w:right w:val="single" w:sz="1" w:space="0" w:color="000000"/>
            </w:tcBorders>
          </w:tcPr>
          <w:p w:rsidR="00ED46BB" w:rsidRDefault="00ED46BB" w:rsidP="002546AB">
            <w:pPr>
              <w:pStyle w:val="a3"/>
              <w:snapToGrid w:val="0"/>
              <w:rPr>
                <w:rFonts w:cs="Times New Roman"/>
                <w:i/>
                <w:iCs/>
                <w:sz w:val="20"/>
                <w:szCs w:val="20"/>
                <w:lang w:val="uk-UA"/>
              </w:rPr>
            </w:pPr>
            <w:r>
              <w:rPr>
                <w:rFonts w:cs="Times New Roman"/>
                <w:i/>
                <w:iCs/>
                <w:sz w:val="20"/>
                <w:szCs w:val="20"/>
                <w:lang w:val="uk-UA"/>
              </w:rPr>
              <w:t>Примітка: Англійська версія цього документу, WP- 0101-1304-0101, є схваленим для посилання документом Euralarm.</w:t>
            </w:r>
          </w:p>
        </w:tc>
      </w:tr>
    </w:tbl>
    <w:p w:rsidR="005468DF" w:rsidRPr="005A4889" w:rsidRDefault="005A4889">
      <w:pPr>
        <w:rPr>
          <w:sz w:val="22"/>
          <w:szCs w:val="22"/>
          <w:lang w:val="uk-UA"/>
        </w:rPr>
      </w:pPr>
      <w:r>
        <w:rPr>
          <w:sz w:val="22"/>
          <w:szCs w:val="22"/>
          <w:lang w:val="uk-UA"/>
        </w:rPr>
        <w:t>*</w:t>
      </w:r>
      <w:r w:rsidRPr="005A4889">
        <w:rPr>
          <w:sz w:val="22"/>
          <w:szCs w:val="22"/>
          <w:lang w:val="uk-UA"/>
        </w:rPr>
        <w:t xml:space="preserve">Повну версію </w:t>
      </w:r>
      <w:r>
        <w:rPr>
          <w:sz w:val="22"/>
          <w:szCs w:val="22"/>
          <w:lang w:val="uk-UA"/>
        </w:rPr>
        <w:t>д</w:t>
      </w:r>
      <w:r w:rsidRPr="005A4889">
        <w:rPr>
          <w:sz w:val="22"/>
          <w:szCs w:val="22"/>
          <w:lang w:val="uk-UA"/>
        </w:rPr>
        <w:t xml:space="preserve">окументу </w:t>
      </w:r>
      <w:r>
        <w:rPr>
          <w:sz w:val="22"/>
          <w:szCs w:val="22"/>
          <w:lang w:val="uk-UA"/>
        </w:rPr>
        <w:t>(</w:t>
      </w:r>
      <w:proofErr w:type="spellStart"/>
      <w:r>
        <w:rPr>
          <w:sz w:val="22"/>
          <w:szCs w:val="22"/>
          <w:lang w:val="uk-UA"/>
        </w:rPr>
        <w:t>англ.-укр</w:t>
      </w:r>
      <w:proofErr w:type="spellEnd"/>
      <w:r>
        <w:rPr>
          <w:sz w:val="22"/>
          <w:szCs w:val="22"/>
          <w:lang w:val="uk-UA"/>
        </w:rPr>
        <w:t xml:space="preserve">) </w:t>
      </w:r>
      <w:r w:rsidRPr="005A4889">
        <w:rPr>
          <w:sz w:val="22"/>
          <w:szCs w:val="22"/>
          <w:lang w:val="uk-UA"/>
        </w:rPr>
        <w:t xml:space="preserve">члени УФІБ можуть отримати </w:t>
      </w:r>
      <w:r>
        <w:rPr>
          <w:sz w:val="22"/>
          <w:szCs w:val="22"/>
          <w:lang w:val="uk-UA"/>
        </w:rPr>
        <w:t>через дирекцію УФІБ.</w:t>
      </w:r>
      <w:bookmarkStart w:id="0" w:name="_GoBack"/>
      <w:bookmarkEnd w:id="0"/>
    </w:p>
    <w:sectPr w:rsidR="005468DF" w:rsidRPr="005A4889" w:rsidSect="006C4C03">
      <w:type w:val="continuous"/>
      <w:pgSz w:w="11906" w:h="16838" w:code="9"/>
      <w:pgMar w:top="1134" w:right="851" w:bottom="85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C5" w:rsidRDefault="007909C5" w:rsidP="00ED46BB">
      <w:r>
        <w:separator/>
      </w:r>
    </w:p>
  </w:endnote>
  <w:endnote w:type="continuationSeparator" w:id="0">
    <w:p w:rsidR="007909C5" w:rsidRDefault="007909C5" w:rsidP="00ED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C5" w:rsidRDefault="007909C5" w:rsidP="00ED46BB">
      <w:r>
        <w:separator/>
      </w:r>
    </w:p>
  </w:footnote>
  <w:footnote w:type="continuationSeparator" w:id="0">
    <w:p w:rsidR="007909C5" w:rsidRDefault="007909C5" w:rsidP="00ED4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3EE6411E"/>
    <w:multiLevelType w:val="hybridMultilevel"/>
    <w:tmpl w:val="3CF6FD58"/>
    <w:lvl w:ilvl="0" w:tplc="384653DA">
      <w:start w:val="3"/>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2C"/>
    <w:rsid w:val="0022222C"/>
    <w:rsid w:val="004F062C"/>
    <w:rsid w:val="005468DF"/>
    <w:rsid w:val="005A4889"/>
    <w:rsid w:val="00605D26"/>
    <w:rsid w:val="006C4C03"/>
    <w:rsid w:val="007909C5"/>
    <w:rsid w:val="008F1936"/>
    <w:rsid w:val="00ED4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2C"/>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22222C"/>
    <w:pPr>
      <w:suppressLineNumbers/>
    </w:pPr>
  </w:style>
  <w:style w:type="paragraph" w:styleId="a4">
    <w:name w:val="header"/>
    <w:basedOn w:val="a"/>
    <w:link w:val="a5"/>
    <w:uiPriority w:val="99"/>
    <w:unhideWhenUsed/>
    <w:rsid w:val="00ED46BB"/>
    <w:pPr>
      <w:tabs>
        <w:tab w:val="center" w:pos="4677"/>
        <w:tab w:val="right" w:pos="9355"/>
      </w:tabs>
    </w:pPr>
    <w:rPr>
      <w:szCs w:val="21"/>
    </w:rPr>
  </w:style>
  <w:style w:type="character" w:customStyle="1" w:styleId="a5">
    <w:name w:val="Верхний колонтитул Знак"/>
    <w:basedOn w:val="a0"/>
    <w:link w:val="a4"/>
    <w:uiPriority w:val="99"/>
    <w:rsid w:val="00ED46BB"/>
    <w:rPr>
      <w:rFonts w:ascii="Times New Roman" w:eastAsia="Lucida Sans Unicode" w:hAnsi="Times New Roman" w:cs="Mangal"/>
      <w:kern w:val="1"/>
      <w:sz w:val="24"/>
      <w:szCs w:val="21"/>
      <w:lang w:eastAsia="zh-CN" w:bidi="hi-IN"/>
    </w:rPr>
  </w:style>
  <w:style w:type="paragraph" w:styleId="a6">
    <w:name w:val="footer"/>
    <w:basedOn w:val="a"/>
    <w:link w:val="a7"/>
    <w:uiPriority w:val="99"/>
    <w:unhideWhenUsed/>
    <w:rsid w:val="00ED46BB"/>
    <w:pPr>
      <w:tabs>
        <w:tab w:val="center" w:pos="4677"/>
        <w:tab w:val="right" w:pos="9355"/>
      </w:tabs>
    </w:pPr>
    <w:rPr>
      <w:szCs w:val="21"/>
    </w:rPr>
  </w:style>
  <w:style w:type="character" w:customStyle="1" w:styleId="a7">
    <w:name w:val="Нижний колонтитул Знак"/>
    <w:basedOn w:val="a0"/>
    <w:link w:val="a6"/>
    <w:uiPriority w:val="99"/>
    <w:rsid w:val="00ED46BB"/>
    <w:rPr>
      <w:rFonts w:ascii="Times New Roman" w:eastAsia="Lucida Sans Unicode" w:hAnsi="Times New Roma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2C"/>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22222C"/>
    <w:pPr>
      <w:suppressLineNumbers/>
    </w:pPr>
  </w:style>
  <w:style w:type="paragraph" w:styleId="a4">
    <w:name w:val="header"/>
    <w:basedOn w:val="a"/>
    <w:link w:val="a5"/>
    <w:uiPriority w:val="99"/>
    <w:unhideWhenUsed/>
    <w:rsid w:val="00ED46BB"/>
    <w:pPr>
      <w:tabs>
        <w:tab w:val="center" w:pos="4677"/>
        <w:tab w:val="right" w:pos="9355"/>
      </w:tabs>
    </w:pPr>
    <w:rPr>
      <w:szCs w:val="21"/>
    </w:rPr>
  </w:style>
  <w:style w:type="character" w:customStyle="1" w:styleId="a5">
    <w:name w:val="Верхний колонтитул Знак"/>
    <w:basedOn w:val="a0"/>
    <w:link w:val="a4"/>
    <w:uiPriority w:val="99"/>
    <w:rsid w:val="00ED46BB"/>
    <w:rPr>
      <w:rFonts w:ascii="Times New Roman" w:eastAsia="Lucida Sans Unicode" w:hAnsi="Times New Roman" w:cs="Mangal"/>
      <w:kern w:val="1"/>
      <w:sz w:val="24"/>
      <w:szCs w:val="21"/>
      <w:lang w:eastAsia="zh-CN" w:bidi="hi-IN"/>
    </w:rPr>
  </w:style>
  <w:style w:type="paragraph" w:styleId="a6">
    <w:name w:val="footer"/>
    <w:basedOn w:val="a"/>
    <w:link w:val="a7"/>
    <w:uiPriority w:val="99"/>
    <w:unhideWhenUsed/>
    <w:rsid w:val="00ED46BB"/>
    <w:pPr>
      <w:tabs>
        <w:tab w:val="center" w:pos="4677"/>
        <w:tab w:val="right" w:pos="9355"/>
      </w:tabs>
    </w:pPr>
    <w:rPr>
      <w:szCs w:val="21"/>
    </w:rPr>
  </w:style>
  <w:style w:type="character" w:customStyle="1" w:styleId="a7">
    <w:name w:val="Нижний колонтитул Знак"/>
    <w:basedOn w:val="a0"/>
    <w:link w:val="a6"/>
    <w:uiPriority w:val="99"/>
    <w:rsid w:val="00ED46BB"/>
    <w:rPr>
      <w:rFonts w:ascii="Times New Roman" w:eastAsia="Lucida Sans Unicode"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1183</Words>
  <Characters>6747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spirit</dc:creator>
  <cp:lastModifiedBy>spirit</cp:lastModifiedBy>
  <cp:revision>6</cp:revision>
  <dcterms:created xsi:type="dcterms:W3CDTF">2013-09-09T12:56:00Z</dcterms:created>
  <dcterms:modified xsi:type="dcterms:W3CDTF">2013-09-09T13:20:00Z</dcterms:modified>
</cp:coreProperties>
</file>